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深环（南山）责改字〔2025〕1号</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2025年2月24日，我局执法人员对位于</w:t>
      </w:r>
      <w:r>
        <w:rPr>
          <w:rFonts w:hint="default" w:ascii="仿宋_GB2312" w:hAnsi="宋体" w:eastAsia="仿宋_GB2312" w:cs="宋体"/>
          <w:kern w:val="0"/>
          <w:sz w:val="28"/>
          <w:szCs w:val="28"/>
          <w:highlight w:val="none"/>
        </w:rPr>
        <w:t>***</w:t>
      </w:r>
      <w:bookmarkStart w:id="0" w:name="_GoBack"/>
      <w:bookmarkEnd w:id="0"/>
      <w:r>
        <w:rPr>
          <w:rFonts w:hint="eastAsia" w:ascii="仿宋_GB2312" w:hAnsi="仿宋_GB2312" w:eastAsia="仿宋_GB2312" w:cs="仿宋_GB2312"/>
          <w:kern w:val="0"/>
          <w:sz w:val="28"/>
          <w:szCs w:val="28"/>
          <w:highlight w:val="none"/>
          <w:u w:val="none"/>
        </w:rPr>
        <w:t>的你单位作为建设单位的</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改扩建项目进行执法检查，现场检查发现你单位正常营业，主要从事自动化器件研发与组装。现场主要产污环节主要为SMT生产加工、回流焊、涂覆/点胶等。现场产生是的有机废气、焊烟等通过集气罩收集至楼顶，经活性炭工艺处理后排放。你单位已编制建设项目环境影响报告表并现场提供环评告知性备案回执（</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2025年4月15日，我局组织3名专家对《</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改扩建项目建设项目环境影响报告表》编制质量进行现场核查。2025年4月22日，我局收到专家意见，根据《深圳市建设项目环境影响评价审批和备案管理名录（2021年版）》，你单位该项目属应当编制环境影响报告表并实施告知性备案的项目。同时，该项目环评报告存在以下问题：</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1.存在降低环境影响评价标准问题</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根据《建设项目环境影响评价技术导则 总纲》3.9环境影响评价标准的确定中明确根据环境影响评价范围内各环境要素的环境功能区划确定各评价因子适用的环境质量标准及相应的污染物排放标准。</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根据《固定污染源挥发性有机物综合排放标准》（DB44/2367-2022）第1章范围注释中明确标准适用范围为：在国家和广东省现有的大气污染物排放标准体系中，凡是无行业性大气污染物排放标准或者挥发性有机物排放标准控制的污染源，应当执行本文件。</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固定污染源挥发性有机物综合排放标准》（DB44/2367-2022）对于非甲烷总烃（NMHC）的最高允许浓度限值为80mg/m3。《大气污染物排放限值》（DB44/27-2001）对于非甲烷总烃的最高允许排放浓度为120mg/m3。《固定污染源挥发性有机物综合排放标准》（DB44/2367-2022）对于非甲烷总烃（NMHC）排放要求严于《大气污染物排放限值》（DB44/27-2001）。</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项目环评报告第38页表3-5污染物排放标准一览表注释中明确有机废气执行《固定污染源挥发性有机物综合排放标准》（DB44/2367-2022）及《大气污染物排放限值》（DB44/27-2001）较严值，但在表格中却列明非甲烷总烃最高允许排放浓度执行120mg/m3。</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固定污染源挥发性有机物综合排放标准》（DB44/2367-2022）发布晚于《大气污染物排放限值》（DB44/27-2001），且该标准明确适用于新建、改建、扩建项目的环境影响评价的挥发性有机物排放管理，在现有的大气污染物排放标准中，凡是无行业性大气污染物排放标准或者挥发性有机物排放标准控制的污染源，应当执行该标准。经核实，《大气污染物排放限值》（DB44/27-2001）不属于该项目行业标准，因此非甲烷总烃最高允许排放浓度应执行《固定污染源挥发性有机物综合排放标准》（DB44/2367-2022）中规定的80mg/m3，而不是《大气污染物排放限值》（DB44/27-2001）中规定的120mg/m3。</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该问题属于《建设项目环境影响报告书（表）编制监督管理办法》第二十六条第一款第（二）项中降低环境影响评价标准的情形。</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2.存在建设项目概况描述不全或者错误问题</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根据《建设项目环境影响报告表编制技术指南（污染影响类）（试行）》第三条第（一）点建设项目基本情况中其他符合性分析的编制要求，报告中需分析建设项目与所在地“三线一单”（生态保护红线、环境质量底线、资源利用上线和生态环境准入清单）及相关生态环境保护法律法规政策、生态环境保护规划的符合性。</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项目环评报告第13、14页“项目与三线一单的相符性分析”中出现“项目所在属于ZH44030930073 大浪街道一般管控单元（YB73）”表述，且管控要求分析中所列内容均为“ZH44030930073 大浪街道一般管控单元（YB73）”的管控要求。</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根据《建设项目环境影响报告表编制技术指南（污染影响类）（试行）》第三条第（二）点建设项目工程分析中与项目有关的原有环境污染问题的编制要求，报告中改建、扩建及技改项目说明现有工程履行环境影响评价、竣工环境保护验收、排污许可手续等情况。</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项目环评报告在与项目有关的原有环境污染问题章节中未对项目竣工环境保护验收、排污许可手续等情况进行说明。</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项目环评报告第23页表2-3主要产品原辅材料名称及年用量一览表中使用挥发性物质为氨基醇酸树脂、稀释剂、热熔胶、底部填充胶、清洗剂（水基型）。</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经现场核查，你单位还使用焊锡助焊剂、酒精、去除三防漆的清洗剂等VOC物质。</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该问题属于《建设项目环境影响报告书（表）编制监督管理办法》第二十六条第一款第（三）项中建设项目概况描述不全或者错误的情形。</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3.存在环境质量现状引用数据无效问题</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根据《建设项目环境影响报告表编制技术指南（污染影响类）（试行）》第三条第（三）点区域环境质量现状、环境保护目标及评价标准的编制要求，地表水环境现状分析应引用与建设项目距离近的有效数据，包括近3年的规划环境影响评价的监测数据，所在流域控制单元内国家、地方控制断面监测数据，生态环境主管部门发布的水环境质量数据或地表水达标情况的结论。</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项目环评报告第35页水环境质量现状章节所述，地表水环境质量现状数据引用《深圳市生态环境质量报告书（2023年度）》中大沙河的常规监测资料，经查阅《深圳市生态环境质量报告书（2023年度）》未见该数据来源。</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解释地表水环境质量现状数据实际引用的是《深圳市生态环境质量报告书（2019年度）》中大沙河的常规监测资料，编制报告笔误写成了2023年度。经核实，该项目环评报告中引用的地表水环境质量现状数据实则为《深圳市环境质量报告书（2018年度）》的数据。</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该问题属于《建设项目环境影响报告书（表）编制监督管理办法》第二十六条第一款第（六）项中环境质量现状所引用数据无效的情形。</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综上，你单位作为该项目建设单位，存在环境影响报告书（表）不符合有关环境影响评价法律法规、标准和技术规范等规定，存在质量问题的环境违法行为。                                                        </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1、2025年2月24日、2025年4月15日我局执法人员制作的现场检查（勘察）笔录、现场取证照片(或视频)、2025年3月31日调查询问笔录证明我局执法人员的执法检查、调查情况 ；</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2、2025年2月24日你单位提供的</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改扩建项目建设项目环境影响报告表、环境影响评价报告表技术服务合同等材料、2025年4月22日我局收到的《</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改扩建项目建设项目环境影响报告表》编制质量现场核查会专家意见，证明你单位作为</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改扩建项目建设项目的建设单位，存在环境影响报告书（表）不符合有关环境影响评价法律法规、标准和技术规范等规定，存在质量问题的环境违法行为；</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3、2025年2月24日你单位提供的营业执照复印件、授权委托书、法定代表人身份证明书、身份证复印件，证明你单位的主体适格；</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w:t>
      </w:r>
      <w:r>
        <w:rPr>
          <w:rFonts w:hint="eastAsia" w:ascii="仿宋_GB2312" w:hAnsi="仿宋_GB2312" w:eastAsia="仿宋_GB2312" w:cs="仿宋_GB2312"/>
          <w:kern w:val="0"/>
          <w:sz w:val="28"/>
          <w:szCs w:val="28"/>
          <w:highlight w:val="none"/>
          <w:u w:val="none"/>
        </w:rPr>
        <w:t>、执法人员执法证复印件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你单位上述行为违反了《中华人民共和国环境影响评价法》第十九条第二款“编制建设项目环境影响报告书、环境影响报告表应当遵守国家有关环境影响评价标准、技术规范等规定”和《建设项目环境影响报告书（表）编制监督管理办法》第三条“建设单位应当对环境影响报告书（表）的内容和结论负责；技术单位对其编制的环境影响报告书（表）承担相应责任”的规定。</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依据《中华人民共和国行政处罚法》第二十八条第一款“行政机关实施行政处罚时，应当责令当事人改正或者限期改正违法行为”和《建设项目环境影响报告书（表）编制监督管理办法》第二十六条第一款第二、三、六项“在监督检查过程中发现环境影响报告书（表）不符合有关环境影响评价法律法规、标准和技术规范等规定、存在下列质量问题之一的，由市级以上生态环境主管部门对建设单位、技术单位和编制人员给予通报批评：（二）降低环境影响评价工作等级，降低环境影响评价标准，或者缩小环境影响评价范围的；（三）建设项目概况描述不全或者错误的；（六）环境质量现状数据来源、监测因子、监测频次或者布点等不符合相关规定，或者所引用数据无效的”的规定，现责令你单位限期三十天内改正环境影响报告书（表）不符合有关环境影响评价法律法规、标准和技术规范等规定，存在质量问题的环境违法行为。</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我局将自责令改正期限届满三十日内对你单位违法行为的改正情况实施复查。若复查时发现你单位拒不改正的，我局可根据违法行为依法采取法律赋予生态环境部门的监管措施。</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你单位在我局实施复查前，可以向我局报告整改情况，并附具相关证明材料。</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你单位如对本决定不服，可以在收到本决定书之日起六十日内向深圳市人民政府申请行政复议；也可以在收到决定书之日起六个月内向广东省深圳市龙岗区人民法院提起行政诉讼。</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联系人：龚俊舟  联系电话：0755-26560940，联系地址：深圳市南山区泉园路13号环境大厦</w:t>
      </w: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p>
    <w:p>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p>
    <w:p>
      <w:pPr>
        <w:keepNext w:val="0"/>
        <w:keepLines w:val="0"/>
        <w:pageBreakBefore w:val="0"/>
        <w:wordWrap/>
        <w:overflowPunct/>
        <w:topLinePunct w:val="0"/>
        <w:autoSpaceDE w:val="0"/>
        <w:autoSpaceDN w:val="0"/>
        <w:bidi w:val="0"/>
        <w:adjustRightInd w:val="0"/>
        <w:snapToGrid/>
        <w:spacing w:line="400" w:lineRule="exact"/>
        <w:ind w:firstLine="560" w:firstLineChars="200"/>
        <w:jc w:val="right"/>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 xml:space="preserve">深圳市生态环境局   </w:t>
      </w:r>
    </w:p>
    <w:p>
      <w:pPr>
        <w:keepNext w:val="0"/>
        <w:keepLines w:val="0"/>
        <w:pageBreakBefore w:val="0"/>
        <w:wordWrap/>
        <w:overflowPunct/>
        <w:topLinePunct w:val="0"/>
        <w:autoSpaceDE w:val="0"/>
        <w:autoSpaceDN w:val="0"/>
        <w:bidi w:val="0"/>
        <w:adjustRightInd w:val="0"/>
        <w:snapToGrid/>
        <w:spacing w:line="400" w:lineRule="exact"/>
        <w:ind w:firstLine="560" w:firstLineChars="200"/>
        <w:jc w:val="right"/>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 xml:space="preserve">                                   2025年5月20日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7F587AB"/>
    <w:rsid w:val="DC6FCDDB"/>
    <w:rsid w:val="E15F9B8A"/>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1637</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陈安怡</cp:lastModifiedBy>
  <cp:lastPrinted>2023-09-17T07:05:00Z</cp:lastPrinted>
  <dcterms:modified xsi:type="dcterms:W3CDTF">2025-05-29T17:32:30Z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